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9639.0" w:type="dxa"/>
        <w:jc w:val="left"/>
        <w:tblInd w:w="-71.0" w:type="dxa"/>
        <w:tblBorders>
          <w:bottom w:color="000000" w:space="0" w:sz="6" w:val="single"/>
        </w:tblBorders>
        <w:tblLayout w:type="fixed"/>
        <w:tblLook w:val="0000"/>
      </w:tblPr>
      <w:tblGrid>
        <w:gridCol w:w="5670"/>
        <w:gridCol w:w="3969"/>
        <w:tblGridChange w:id="0">
          <w:tblGrid>
            <w:gridCol w:w="5670"/>
            <w:gridCol w:w="3969"/>
          </w:tblGrid>
        </w:tblGridChange>
      </w:tblGrid>
      <w:tr>
        <w:tc>
          <w:tcPr/>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rFonts w:ascii="Verdana" w:cs="Verdana" w:eastAsia="Verdana" w:hAnsi="Verdana"/>
                <w:b w:val="1"/>
                <w:i w:val="0"/>
                <w:smallCaps w:val="0"/>
                <w:strike w:val="0"/>
                <w:color w:val="000000"/>
                <w:sz w:val="24"/>
                <w:szCs w:val="24"/>
                <w:u w:val="none"/>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STADGAR</w:t>
            </w:r>
          </w:p>
          <w:p w:rsidR="00000000" w:rsidDel="00000000" w:rsidP="00000000" w:rsidRDefault="00000000" w:rsidRPr="00000000">
            <w:pPr>
              <w:keepNext w:val="1"/>
              <w:keepLines w:val="0"/>
              <w:widowControl w:val="0"/>
              <w:pBdr/>
              <w:spacing w:after="0" w:before="6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sz w:val="18"/>
                <w:szCs w:val="18"/>
                <w:rtl w:val="0"/>
              </w:rPr>
              <w:t xml:space="preserve">2018-03-XX</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bookmarkStart w:colFirst="0" w:colLast="0" w:name="30j0zll" w:id="1"/>
            <w:bookmarkEnd w:id="1"/>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Sammanträdesledare</w:t>
              <w:br w:type="textWrapping"/>
              <w:t xml:space="preserve">Gunnar </w:t>
            </w:r>
            <w:r w:rsidDel="00000000" w:rsidR="00000000" w:rsidRPr="00000000">
              <w:rPr>
                <w:rFonts w:ascii="Verdana" w:cs="Verdana" w:eastAsia="Verdana" w:hAnsi="Verdana"/>
                <w:sz w:val="18"/>
                <w:szCs w:val="18"/>
                <w:rtl w:val="0"/>
              </w:rPr>
              <w:t xml:space="preserve">Bergström</w:t>
            </w:r>
            <w:r w:rsidDel="00000000" w:rsidR="00000000" w:rsidRPr="00000000">
              <w:rPr>
                <w:rtl w:val="0"/>
              </w:rPr>
            </w:r>
          </w:p>
          <w:p w:rsidR="00000000" w:rsidDel="00000000" w:rsidP="00000000" w:rsidRDefault="00000000" w:rsidRPr="00000000">
            <w:pPr>
              <w:keepNext w:val="1"/>
              <w:keepLines w:val="0"/>
              <w:widowControl w:val="0"/>
              <w:pBdr/>
              <w:spacing w:after="6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bookmarkStart w:colFirst="0" w:colLast="0" w:name="1fob9te" w:id="2"/>
            <w:bookmarkEnd w:id="2"/>
            <w:r w:rsidDel="00000000" w:rsidR="00000000" w:rsidRPr="00000000">
              <w:rPr>
                <w:rtl w:val="0"/>
              </w:rPr>
            </w:r>
          </w:p>
        </w:tc>
        <w:tc>
          <w:tcPr/>
          <w:p w:rsidR="00000000" w:rsidDel="00000000" w:rsidP="00000000" w:rsidRDefault="00000000" w:rsidRPr="00000000">
            <w:pPr>
              <w:keepNext w:val="0"/>
              <w:keepLines w:val="0"/>
              <w:widowControl w:val="0"/>
              <w:pBdr/>
              <w:tabs>
                <w:tab w:val="left" w:pos="1134"/>
                <w:tab w:val="left" w:pos="2268"/>
                <w:tab w:val="left" w:pos="3402"/>
                <w:tab w:val="left" w:pos="4536"/>
                <w:tab w:val="left" w:pos="5670"/>
              </w:tabs>
              <w:spacing w:after="0" w:before="0" w:line="240" w:lineRule="auto"/>
              <w:ind w:left="57"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abs>
          <w:tab w:val="left" w:pos="1134"/>
          <w:tab w:val="left" w:pos="2268"/>
          <w:tab w:val="left" w:pos="3402"/>
          <w:tab w:val="left" w:pos="4536"/>
          <w:tab w:val="left" w:pos="5670"/>
        </w:tabs>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
          <w:szCs w:val="2"/>
          <w:u w:val="none"/>
          <w:vertAlign w:val="baseline"/>
        </w:rPr>
      </w:pPr>
      <w:r w:rsidDel="00000000" w:rsidR="00000000" w:rsidRPr="00000000">
        <w:rPr>
          <w:rtl w:val="0"/>
        </w:rPr>
      </w:r>
    </w:p>
    <w:tbl>
      <w:tblPr>
        <w:tblStyle w:val="Table2"/>
        <w:bidiVisual w:val="0"/>
        <w:tblW w:w="9640.0" w:type="dxa"/>
        <w:jc w:val="left"/>
        <w:tblInd w:w="-71.0" w:type="dxa"/>
        <w:tblLayout w:type="fixed"/>
        <w:tblLook w:val="0000"/>
      </w:tblPr>
      <w:tblGrid>
        <w:gridCol w:w="1985"/>
        <w:gridCol w:w="4536"/>
        <w:gridCol w:w="3119"/>
        <w:tblGridChange w:id="0">
          <w:tblGrid>
            <w:gridCol w:w="1985"/>
            <w:gridCol w:w="4536"/>
            <w:gridCol w:w="3119"/>
          </w:tblGrid>
        </w:tblGridChange>
      </w:tblGrid>
      <w:tr>
        <w:tc>
          <w:tcPr/>
          <w:p w:rsidR="00000000" w:rsidDel="00000000" w:rsidP="00000000" w:rsidRDefault="00000000" w:rsidRPr="00000000">
            <w:pPr>
              <w:keepNext w:val="0"/>
              <w:keepLines w:val="0"/>
              <w:widowControl w:val="0"/>
              <w:pBdr/>
              <w:spacing w:after="120" w:before="18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18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Stadgar för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t xml:space="preserve">Åminnareds Vägsamfällighet</w:t>
            </w:r>
            <w:r w:rsidDel="00000000" w:rsidR="00000000" w:rsidRPr="00000000">
              <w:rPr>
                <w:rtl w:val="0"/>
              </w:rPr>
            </w:r>
            <w:bookmarkStart w:colFirst="0" w:colLast="0" w:name="3znysh7" w:id="3"/>
            <w:bookmarkEnd w:id="3"/>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enligt lagen (1973:1150) om förvaltning av samfälligheter (SFL). Lagens bestämmelser om förvaltningen ska gälla. </w:t>
            </w:r>
          </w:p>
        </w:tc>
      </w:tr>
      <w:tr>
        <w:tc>
          <w:tcPr>
            <w:tcBorders>
              <w:bottom w:color="808080" w:space="0" w:sz="6" w:val="single"/>
            </w:tcBorders>
            <w:tcMar>
              <w:left w:w="71.0" w:type="dxa"/>
              <w:right w:w="71.0" w:type="dxa"/>
            </w:tcMar>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tcBorders>
              <w:bottom w:color="808080" w:space="0" w:sz="6" w:val="single"/>
            </w:tcBorders>
            <w:tcMar>
              <w:left w:w="71.0" w:type="dxa"/>
              <w:right w:w="71.0" w:type="dxa"/>
            </w:tcMar>
          </w:tcPr>
          <w:p w:rsidR="00000000" w:rsidDel="00000000" w:rsidP="00000000" w:rsidRDefault="00000000" w:rsidRPr="00000000">
            <w:pPr>
              <w:keepNext w:val="0"/>
              <w:keepLines w:val="0"/>
              <w:widowControl w:val="0"/>
              <w:pBdr/>
              <w:tabs>
                <w:tab w:val="left" w:pos="1134"/>
              </w:tabs>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Kommun: Kungsbacka Kommun</w:t>
            </w:r>
            <w:bookmarkStart w:colFirst="0" w:colLast="0" w:name="2et92p0" w:id="4"/>
            <w:bookmarkEnd w:id="4"/>
            <w:r w:rsidDel="00000000" w:rsidR="00000000" w:rsidRPr="00000000">
              <w:rPr>
                <w:rtl w:val="0"/>
              </w:rPr>
            </w:r>
          </w:p>
        </w:tc>
        <w:tc>
          <w:tcPr>
            <w:tcBorders>
              <w:bottom w:color="808080" w:space="0" w:sz="6" w:val="single"/>
            </w:tcBorders>
            <w:tcMar>
              <w:left w:w="71.0" w:type="dxa"/>
              <w:right w:w="71.0" w:type="dxa"/>
            </w:tcMar>
          </w:tcPr>
          <w:p w:rsidR="00000000" w:rsidDel="00000000" w:rsidP="00000000" w:rsidRDefault="00000000" w:rsidRPr="00000000">
            <w:pPr>
              <w:keepNext w:val="0"/>
              <w:keepLines w:val="0"/>
              <w:widowControl w:val="0"/>
              <w:pBdr/>
              <w:tabs>
                <w:tab w:val="left" w:pos="3827"/>
              </w:tabs>
              <w:spacing w:after="120" w:before="120" w:line="240" w:lineRule="auto"/>
              <w:ind w:left="0" w:right="0" w:firstLine="0"/>
              <w:contextualSpacing w:val="0"/>
              <w:jc w:val="left"/>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Län: Hallands Län</w:t>
            </w:r>
            <w:r w:rsidDel="00000000" w:rsidR="00000000" w:rsidRPr="00000000">
              <w:rPr>
                <w:rtl w:val="0"/>
              </w:rPr>
            </w:r>
            <w:bookmarkStart w:colFirst="0" w:colLast="0" w:name="tyjcwt" w:id="5"/>
            <w:bookmarkEnd w:id="5"/>
            <w:r w:rsidDel="00000000" w:rsidR="00000000" w:rsidRPr="00000000">
              <w:rPr>
                <w:rtl w:val="0"/>
              </w:rPr>
            </w:r>
          </w:p>
        </w:tc>
      </w:tr>
    </w:tbl>
    <w:p w:rsidR="00000000" w:rsidDel="00000000" w:rsidP="00000000" w:rsidRDefault="00000000" w:rsidRPr="00000000">
      <w:pPr>
        <w:pBdr/>
        <w:contextualSpacing w:val="0"/>
        <w:rPr>
          <w:sz w:val="6"/>
          <w:szCs w:val="6"/>
        </w:rPr>
      </w:pPr>
      <w:r w:rsidDel="00000000" w:rsidR="00000000" w:rsidRPr="00000000">
        <w:rPr>
          <w:rtl w:val="0"/>
        </w:rPr>
      </w:r>
    </w:p>
    <w:tbl>
      <w:tblPr>
        <w:tblStyle w:val="Table3"/>
        <w:bidiVisual w:val="0"/>
        <w:tblW w:w="9644.0" w:type="dxa"/>
        <w:jc w:val="left"/>
        <w:tblInd w:w="-71.0" w:type="dxa"/>
        <w:tblLayout w:type="fixed"/>
        <w:tblLook w:val="0000"/>
      </w:tblPr>
      <w:tblGrid>
        <w:gridCol w:w="1989"/>
        <w:gridCol w:w="567"/>
        <w:gridCol w:w="7"/>
        <w:gridCol w:w="7081"/>
        <w:tblGridChange w:id="0">
          <w:tblGrid>
            <w:gridCol w:w="1989"/>
            <w:gridCol w:w="567"/>
            <w:gridCol w:w="7"/>
            <w:gridCol w:w="7081"/>
          </w:tblGrid>
        </w:tblGridChange>
      </w:tblGrid>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commentRangeStart w:id="0"/>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w:t>
            </w:r>
            <w:commentRangeEnd w:id="0"/>
            <w:r w:rsidDel="00000000" w:rsidR="00000000" w:rsidRPr="00000000">
              <w:commentReference w:id="0"/>
            </w:r>
            <w:r w:rsidDel="00000000" w:rsidR="00000000" w:rsidRPr="00000000">
              <w:rPr>
                <w:rFonts w:ascii="Verdana" w:cs="Verdana" w:eastAsia="Verdana" w:hAnsi="Verdana"/>
                <w:b w:val="0"/>
                <w:i w:val="0"/>
                <w:smallCaps w:val="0"/>
                <w:strike w:val="0"/>
                <w:color w:val="000000"/>
                <w:sz w:val="18"/>
                <w:szCs w:val="18"/>
                <w:u w:val="none"/>
                <w:vertAlign w:val="baseline"/>
                <w:rtl w:val="0"/>
              </w:rPr>
              <w:br w:type="textWrapping"/>
              <w:t xml:space="preserve">Firma</w:t>
            </w:r>
            <w:r w:rsidDel="00000000" w:rsidR="00000000" w:rsidRPr="00000000">
              <w:rPr>
                <w:rtl w:val="0"/>
              </w:rPr>
            </w:r>
          </w:p>
        </w:tc>
        <w:tc>
          <w:tcPr>
            <w:gridSpan w:val="3"/>
          </w:tcPr>
          <w:p w:rsidR="00000000" w:rsidDel="00000000" w:rsidP="00000000" w:rsidRDefault="00000000" w:rsidRPr="00000000">
            <w:pPr>
              <w:keepNext w:val="0"/>
              <w:keepLines w:val="0"/>
              <w:widowControl w:val="0"/>
              <w:pBdr/>
              <w:spacing w:after="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Föreningens firma är</w:t>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pPr>
            <w:r w:rsidDel="00000000" w:rsidR="00000000" w:rsidRPr="00000000">
              <w:rPr>
                <w:rtl w:val="0"/>
              </w:rPr>
              <w:t xml:space="preserve">Åminnareds Vägsamfällighet</w:t>
            </w:r>
          </w:p>
          <w:p w:rsidR="00000000" w:rsidDel="00000000" w:rsidP="00000000" w:rsidRDefault="00000000" w:rsidRPr="00000000">
            <w:pPr>
              <w:keepNext w:val="0"/>
              <w:keepLines w:val="0"/>
              <w:widowControl w:val="0"/>
              <w:pBdr/>
              <w:spacing w:after="60" w:before="0" w:line="240" w:lineRule="auto"/>
              <w:ind w:left="0" w:right="0" w:firstLine="0"/>
              <w:contextualSpacing w:val="0"/>
              <w:jc w:val="left"/>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commentRangeStart w:id="1"/>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2</w:t>
            </w:r>
            <w:commentRangeEnd w:id="1"/>
            <w:r w:rsidDel="00000000" w:rsidR="00000000" w:rsidRPr="00000000">
              <w:commentReference w:id="1"/>
            </w:r>
            <w:r w:rsidDel="00000000" w:rsidR="00000000" w:rsidRPr="00000000">
              <w:rPr>
                <w:rFonts w:ascii="Verdana" w:cs="Verdana" w:eastAsia="Verdana" w:hAnsi="Verdana"/>
                <w:b w:val="0"/>
                <w:i w:val="0"/>
                <w:smallCaps w:val="0"/>
                <w:strike w:val="0"/>
                <w:color w:val="000000"/>
                <w:sz w:val="18"/>
                <w:szCs w:val="18"/>
                <w:u w:val="none"/>
                <w:vertAlign w:val="baseline"/>
                <w:rtl w:val="0"/>
              </w:rPr>
              <w:br w:type="textWrapping"/>
              <w:t xml:space="preserve">Samfälligheter</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Föreningen förvaltar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pPr>
            <w:r w:rsidDel="00000000" w:rsidR="00000000" w:rsidRPr="00000000">
              <w:rPr>
                <w:rtl w:val="0"/>
              </w:rPr>
              <w:t xml:space="preserve">Gemensamhetsanläggning Kungsbacka Ammendred GA 1</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i w:val="1"/>
              </w:rPr>
            </w:pPr>
            <w:r w:rsidDel="00000000" w:rsidR="00000000" w:rsidRPr="00000000">
              <w:rPr>
                <w:i w:val="1"/>
                <w:rtl w:val="0"/>
              </w:rPr>
              <w:t xml:space="preserve">Ammendred 2:10</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i w:val="1"/>
              </w:rPr>
            </w:pPr>
            <w:r w:rsidDel="00000000" w:rsidR="00000000" w:rsidRPr="00000000">
              <w:rPr>
                <w:i w:val="1"/>
                <w:rtl w:val="0"/>
              </w:rPr>
              <w:t xml:space="preserve">Ammendred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commentRangeStart w:id="2"/>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3</w:t>
            </w:r>
            <w:commentRangeEnd w:id="2"/>
            <w:r w:rsidDel="00000000" w:rsidR="00000000" w:rsidRPr="00000000">
              <w:commentReference w:id="2"/>
            </w:r>
            <w:r w:rsidDel="00000000" w:rsidR="00000000" w:rsidRPr="00000000">
              <w:rPr>
                <w:rFonts w:ascii="Verdana" w:cs="Verdana" w:eastAsia="Verdana" w:hAnsi="Verdana"/>
                <w:b w:val="0"/>
                <w:i w:val="0"/>
                <w:smallCaps w:val="0"/>
                <w:strike w:val="0"/>
                <w:color w:val="000000"/>
                <w:sz w:val="18"/>
                <w:szCs w:val="18"/>
                <w:u w:val="none"/>
                <w:vertAlign w:val="baseline"/>
                <w:rtl w:val="0"/>
              </w:rPr>
              <w:br w:type="textWrapping"/>
              <w:t xml:space="preserve">Grunderna för förvaltningen</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1"/>
                <w:smallCaps w:val="0"/>
                <w:strike w:val="0"/>
                <w:color w:val="000000"/>
                <w:sz w:val="24"/>
                <w:szCs w:val="24"/>
                <w:u w:val="none"/>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vertAlign w:val="baseline"/>
                <w:rtl w:val="0"/>
              </w:rPr>
              <w:t xml:space="preserve">Samfälligheten ska förvaltas i enlighet med vad som vid bildandet bestämts om dess ändamål.</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i w:val="1"/>
              </w:rPr>
            </w:pPr>
            <w:r w:rsidDel="00000000" w:rsidR="00000000" w:rsidRPr="00000000">
              <w:rPr>
                <w:i w:val="1"/>
                <w:rtl w:val="0"/>
              </w:rPr>
              <w:t xml:space="preserve">(se: </w:t>
            </w:r>
            <w:hyperlink r:id="rId6">
              <w:r w:rsidDel="00000000" w:rsidR="00000000" w:rsidRPr="00000000">
                <w:rPr>
                  <w:i w:val="1"/>
                  <w:color w:val="1155cc"/>
                  <w:u w:val="single"/>
                  <w:rtl w:val="0"/>
                </w:rPr>
                <w:t xml:space="preserve">https://docs.google.com/viewer?a=v&amp;pid=sites&amp;srcid=cm92b2dlcm4uY29tfHZhZ3xneDozOWUxNzkwMTg5Njk1YzEw</w:t>
              </w:r>
            </w:hyperlink>
            <w:r w:rsidDel="00000000" w:rsidR="00000000" w:rsidRPr="00000000">
              <w:rPr>
                <w:i w:val="1"/>
                <w:rtl w:val="0"/>
              </w:rPr>
              <w:t xml:space="preserve"> )</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4</w:t>
              <w:br w:type="textWrapping"/>
              <w:t xml:space="preserve">Medlem</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Medlem i föreningen är ägare till fastighet eller därmed jämställd egendom som har del i samfällighet upptagen under 2 §.</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5</w:t>
              <w:br w:type="textWrapping"/>
              <w:t xml:space="preserve">Styrelse</w:t>
              <w:br w:type="textWrapping"/>
              <w:t xml:space="preserve">säte, sammansättning</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 föreningen ska finnas en styrelse med säte i Kungsbacka</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kommun.</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ska bestå av minst</w:t>
            </w:r>
            <w:r w:rsidDel="00000000" w:rsidR="00000000" w:rsidRPr="00000000">
              <w:rPr>
                <w:rtl w:val="0"/>
              </w:rPr>
              <w:t xml:space="preserve"> fyra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och högst </w:t>
            </w:r>
            <w:r w:rsidDel="00000000" w:rsidR="00000000" w:rsidRPr="00000000">
              <w:rPr>
                <w:rtl w:val="0"/>
              </w:rPr>
              <w:t xml:space="preserve">sju</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ledamöter och högst</w:t>
            </w:r>
            <w:r w:rsidDel="00000000" w:rsidR="00000000" w:rsidRPr="00000000">
              <w:rPr>
                <w:rtl w:val="0"/>
              </w:rPr>
              <w:t xml:space="preserve"> två</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suppleanter.</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6</w:t>
              <w:br w:type="textWrapping"/>
              <w:t xml:space="preserve">Styrelse</w:t>
              <w:br w:type="textWrapping"/>
              <w:t xml:space="preserve">val</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väljs vid ordinarie föreningsstämma.</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Mandattiden för ledamot är två år och för suppleant ett år. Om en helt ny styrelse väljs på föreningsstämman ska</w:t>
            </w:r>
            <w:r w:rsidDel="00000000" w:rsidR="00000000" w:rsidRPr="00000000">
              <w:rPr>
                <w:rtl w:val="0"/>
              </w:rPr>
              <w:t xml:space="preserve"> två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ledamöter väljas på ett år. Övriga ledamöter ska väljas på två år.</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Föreningsstämman utser ordförande bland styrelsens ledamöter. I övrigt konstituerar styrelsen sig själv.</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7</w:t>
              <w:br w:type="textWrapping"/>
              <w:t xml:space="preserve">Styrelse</w:t>
              <w:br w:type="textWrapping"/>
              <w:t xml:space="preserve">kallelse till sammanträde</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Kallelse av ledamöterna till styrelsesammanträde ska ske minst tio      dagar före sammanträdet. Kallelsen ska innehålla uppgift om de ärenden som ska tas upp på sammanträdet. Suppleanterna ska inom samma tid underrättas om sammanträdet och de ärenden som ska tas upp på detta. Ledamot, som är förhindrad att närvara, ska genast meddela detta till ordföranden, som är skyldig att omedelbart kalla en suppleant i ledamotens ställe. Suppleant som inte ersätter frånvarande styrelseledamot har rätt att närvara vid sammanträdet, men har inte rösträtt.</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8</w:t>
              <w:br w:type="textWrapping"/>
              <w:t xml:space="preserve">Styrelse</w:t>
              <w:br w:type="textWrapping"/>
              <w:t xml:space="preserve">beslutförhet, protokoll</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är beslutför när kallelse har skett i behörig ordning och minst halva antalet styrelseledamöter är närvarande. Utan hinder av detta ska styrelsesammanträde anses behörigen utlyst om samtliga ordinarie ledamöter har infunnit sig till sammanträdet.</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Som styrelsens beslut gäller den mening som får flest röster. Vid lika röstetal gäller den mening som biträds av ordföranden, förutom vid personval där beslutet i så fall avgörs genom lottning. Ett ärende som inte har stått i kallelsen får avgöras om minst två tredjedelar av styrelseledamöterna är närvarande och överens om beslutet.</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En fråga får avgöras utan att kallelse har skett om samtliga ordinarie styrelseledamöter är överens om beslutet.</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Den som har deltagit i avgörandet av ett ärende får reservera sig mot beslutet. Sådan reservation ska anmälas före sammanträdets slut.</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Protokoll ska föras över de ärenden där styrelsen har fattat beslut. Protokollet ska innehålla datum, deltagande styrelseledamöter och suppleanter, en kort beskrivning av ärendet, styrelsens beslut samt anförda reservationer. Protokollet ska justeras av ordföranden eller av annan ledamot som har lett sammanträdet i stället för ordförande.</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9</w:t>
              <w:br w:type="textWrapping"/>
              <w:t xml:space="preserve">Styrelse,</w:t>
              <w:br w:type="textWrapping"/>
              <w:t xml:space="preserve">förvaltning</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ska:</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w:t>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förvalta samfälligheten(erna) och föreningens tillgångar</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2</w:t>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föra redovisning över föreningens räkenskaper</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3</w:t>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föra förteckning över delägande fastigheter, deras andelstal och ägare</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4</w:t>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årligen till ordinarie föreningsstämma avge förvaltningsberättelse över föreningens verksamhet och ekonomi</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5</w:t>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om förvaltningen omfattar flera samfälligheter eller annars är uppdelad på olika verksamhetsgrenar och medlemmarnas andelar inte är lika stora i alla verksamhetsgrenarna, föra särskild redovisning för varje sådan gren</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6</w:t>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i övrigt fullgöra vad lagen föreskriver om hur styrelsen ska sköta föreningens angelägenheter.</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10</w:t>
              <w:br w:type="textWrapping"/>
              <w:t xml:space="preserve">Revision</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 granskning av styrelsens förvaltning ska medlemmarna på ordinarie föreningsstämma utse</w:t>
            </w:r>
            <w:r w:rsidDel="00000000" w:rsidR="00000000" w:rsidRPr="00000000">
              <w:rPr>
                <w:rtl w:val="0"/>
              </w:rPr>
              <w:t xml:space="preserve"> två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reviso</w:t>
            </w:r>
            <w:r w:rsidDel="00000000" w:rsidR="00000000" w:rsidRPr="00000000">
              <w:rPr>
                <w:rtl w:val="0"/>
              </w:rPr>
              <w:t xml:space="preserve">rer</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och</w:t>
            </w:r>
            <w:r w:rsidDel="00000000" w:rsidR="00000000" w:rsidRPr="00000000">
              <w:rPr>
                <w:rtl w:val="0"/>
              </w:rPr>
              <w:t xml:space="preserve"> en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suppleant.</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Revisionsberättelse ska överlämnas till styrelsen senast tre veckor före ordinarie stämma.</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11</w:t>
              <w:br w:type="textWrapping"/>
              <w:t xml:space="preserve">Räkenskapsperiod</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Föreningens räkenskapsperiod omfattar tiden 1/1 - </w:t>
            </w:r>
            <w:r w:rsidDel="00000000" w:rsidR="00000000" w:rsidRPr="00000000">
              <w:rPr>
                <w:rtl w:val="0"/>
              </w:rPr>
              <w:t xml:space="preserve">31/12.</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commentRangeStart w:id="3"/>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12</w:t>
            </w:r>
            <w:commentRangeEnd w:id="3"/>
            <w:r w:rsidDel="00000000" w:rsidR="00000000" w:rsidRPr="00000000">
              <w:commentReference w:id="3"/>
            </w:r>
            <w:r w:rsidDel="00000000" w:rsidR="00000000" w:rsidRPr="00000000">
              <w:rPr>
                <w:rFonts w:ascii="Verdana" w:cs="Verdana" w:eastAsia="Verdana" w:hAnsi="Verdana"/>
                <w:b w:val="0"/>
                <w:i w:val="0"/>
                <w:smallCaps w:val="0"/>
                <w:strike w:val="0"/>
                <w:color w:val="000000"/>
                <w:sz w:val="18"/>
                <w:szCs w:val="18"/>
                <w:u w:val="none"/>
                <w:vertAlign w:val="baseline"/>
                <w:rtl w:val="0"/>
              </w:rPr>
              <w:br w:type="textWrapping"/>
              <w:t xml:space="preserve">Underhålls och förnyelsefond</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Till föreningens underhålls- och förnyelsefond ska årligen avsättas minst                       kronor.</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ska upprätta en underhålls- och förnyelseplan. Den ska innehålla de upplysningar som är av betydelse för att fondavsättningarnas storlek ska kunna bedömas.</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13</w:t>
              <w:br w:type="textWrapping"/>
              <w:t xml:space="preserve">Föreningsstämma</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Ordinarie föreningsstämma ska årligen hållas under </w:t>
            </w:r>
            <w:r w:rsidDel="00000000" w:rsidR="00000000" w:rsidRPr="00000000">
              <w:rPr>
                <w:rtl w:val="0"/>
              </w:rPr>
              <w:t xml:space="preserve">mars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månad på tid och plats som styrelsen bestämmer. Styrelsen kan utlysa en extra föreningsstämma när den anser att det behövs. I fråga om medlemmars rätt att begära en extra föreningsstämma gäller 47 § tredje stycket SFL.</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Om föreningsstämman ska godkänna uttaxering ska styrelsen ge medlemmarna tillfälle att från det att kallelsen har skett ta del av en debiteringslängd, som visar det belopp som ska uttaxeras, vad varje medlem ska betala och när betalning ska ske. Före ordinarie föreningsstämma ska dessutom en förvaltningsberättelse och en revisionsberättelse för den avslutade räkenskapsperioden samt en utgifts- och inkomststat finnas tillgänglig för granskning under samma tid.</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14</w:t>
              <w:br w:type="textWrapping"/>
              <w:t xml:space="preserve">Kallelse till stämma, andra meddelanden</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kallar till föreningsstämma. Det ska ske genom skriftlig kallelse</w:t>
            </w:r>
            <w:r w:rsidDel="00000000" w:rsidR="00000000" w:rsidRPr="00000000">
              <w:rPr>
                <w:rtl w:val="0"/>
              </w:rPr>
              <w:t xml:space="preserve"> via post eller email.</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Kallelse ska ske senast</w:t>
            </w:r>
            <w:r w:rsidDel="00000000" w:rsidR="00000000" w:rsidRPr="00000000">
              <w:rPr>
                <w:rtl w:val="0"/>
              </w:rPr>
              <w:t xml:space="preserve"> två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veckor före föreningsstämman.</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I kallelsen ska anges tid och plats för stämman,</w:t>
              <w:br w:type="textWrapping"/>
              <w:t xml:space="preserve">vilka ärenden som ska förekomma på stämman samt</w:t>
              <w:br w:type="textWrapping"/>
              <w:t xml:space="preserve">uppgift om den plats där de handlingar som anges i 13 § finns tillgängliga.</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ska även se till att andra meddelanden än kallelser kommer till medlemmarnas kännedom genom lämplig metod</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                  </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15</w:t>
              <w:br w:type="textWrapping"/>
              <w:t xml:space="preserve">Motioner</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En medlem kan genom motion väcka förslag rörande föreningens verksamhet. En motion, som ska behandlas på ordinarie stämma, ska vara styrelsen tillhanda senast under</w:t>
            </w:r>
            <w:r w:rsidDel="00000000" w:rsidR="00000000" w:rsidRPr="00000000">
              <w:rPr>
                <w:rtl w:val="0"/>
              </w:rPr>
              <w:t xml:space="preserve"> februari </w:t>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månad.</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 ska bereda de motioner som kommit in och hålla dem tillgängliga för medlemmarna tillsammans med förvaltningsberättelsen, se ovan under 13 §.</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16</w:t>
              <w:br w:type="textWrapping"/>
              <w:t xml:space="preserve">Dagordning vid stämma</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Vid ordinarie stämma ska följande ärenden behandlas:</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prövning att mötet kallats enligt stadgarna </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2</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fastställande av röstlängd</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3</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val av ordförande för stämman</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4</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val av sekreterare för stämman</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5</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val av två justerare, tillika rösträknare</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6</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fastställande av dagordning</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7</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styrelsens och revisorernas berättelser</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8</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ansvarsfrihet för styrelsen</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9</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framställningar från styrelsen eller motioner från medlemmarna</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10</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ersättning till styrelsen och revisorerna</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11</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styrelsens förslag till utgifts- och inkomststat samt debiteringslängd</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12</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val av styrelse, styrelseordförande och suppleanter</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13</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val av revisorer och suppleanter</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14</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fråga om val av valberedning</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15</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övriga frågor</w:t>
            </w:r>
          </w:p>
        </w:tc>
      </w:tr>
      <w:tr>
        <w:tc>
          <w:tcPr/>
          <w:p w:rsidR="00000000" w:rsidDel="00000000" w:rsidP="00000000" w:rsidRDefault="00000000" w:rsidRPr="00000000">
            <w:pPr>
              <w:keepNext w:val="0"/>
              <w:keepLines w:val="0"/>
              <w:widowControl w:val="0"/>
              <w:pBdr/>
              <w:spacing w:after="120" w:before="120" w:line="240" w:lineRule="auto"/>
              <w:ind w:left="0" w:right="170" w:firstLine="0"/>
              <w:contextualSpacing w:val="0"/>
              <w:jc w:val="righ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60" w:before="60" w:line="240"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16</w:t>
            </w:r>
          </w:p>
        </w:tc>
        <w:tc>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meddelande av plats där protokollet från stämman hålls tillgängligt.</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18"/>
                <w:szCs w:val="18"/>
                <w:u w:val="none"/>
                <w:vertAlign w:val="baseline"/>
              </w:rPr>
            </w:pPr>
            <w:r w:rsidDel="00000000" w:rsidR="00000000" w:rsidRPr="00000000">
              <w:rPr>
                <w:rtl w:val="0"/>
              </w:rPr>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Vid extra stämma ska ärendena under punkt 1, 2, 3, 4, 5, 9 och 16 behandlas.</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17</w:t>
              <w:br w:type="textWrapping"/>
              <w:t xml:space="preserve">Fördelning av uppkommet överskott</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Om stämman beslutar om att fördela överskott som uppkommit ska fördelning ske efter medlemmarnas andelar i samfälligheten(erna).</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18</w:t>
              <w:br w:type="textWrapping"/>
              <w:t xml:space="preserve">Stämmobeslut</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Beslut fattas med acklamation om inte omröstning (votering) begärs.</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Ifråga om omröstning m.m. gäller 48, 49, 51 och 52 §§ SFL. Vid en omröstning ska de omständigheter angående rösträtt, andelstal, ombud m.m. som har betydelse för röstresultatet antecknas i protokollet.</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Personval ska ske med slutna sedlar om någon begär det.</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commentRangeStart w:id="4"/>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19</w:t>
            </w:r>
            <w:commentRangeEnd w:id="4"/>
            <w:r w:rsidDel="00000000" w:rsidR="00000000" w:rsidRPr="00000000">
              <w:commentReference w:id="4"/>
            </w:r>
            <w:r w:rsidDel="00000000" w:rsidR="00000000" w:rsidRPr="00000000">
              <w:rPr>
                <w:rFonts w:ascii="Verdana" w:cs="Verdana" w:eastAsia="Verdana" w:hAnsi="Verdana"/>
                <w:b w:val="0"/>
                <w:i w:val="0"/>
                <w:smallCaps w:val="0"/>
                <w:strike w:val="0"/>
                <w:color w:val="000000"/>
                <w:sz w:val="18"/>
                <w:szCs w:val="18"/>
                <w:u w:val="none"/>
                <w:vertAlign w:val="baseline"/>
                <w:rtl w:val="0"/>
              </w:rPr>
              <w:br w:type="textWrapping"/>
              <w:t xml:space="preserve">Flera verksamhetsgrenar</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Om det gäller olika bestämmelser för skilda verksamhetsgrenar i fråga om skyldigheten att delta i kostnader ska inkomsterna och utgifterna för varje verksamhetsgren beräknas för sig. Gemensamma inkomster och utgifter ska fördelas på verksamhetsgrenarna efter vad som är skäligt om inte annat anges nedan (se sista stycket).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Ska omröstning ske i en fråga som berör flera verksamhetsgrenar gemensamt har varje medlem en röst vid tillämpning av huvudtalsmetoden. Detta gäller även om medlemmen ifråga har del i flera verksamhetsgrenar.</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Vid tillämpning av andelstalsmetoden ska i motsvarande fall varje medlems röstetal räknas fram på följande sätt. Först reduceras medlemmens röstetal inom varje verksamhetsgren i förhållande till verksamhetsgrenens andel i den gemensamma verksamhet omröstningen avser. Därefter läggs de reducerade röstetalen samman för varje medlem. </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Verksamhetsgrenarnas andelar i verksamhet som är gemensam för samfälligheten(erna) fördelas enligt följande:</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Fonts w:ascii="Verdana" w:cs="Verdana" w:eastAsia="Verdana" w:hAnsi="Verdana"/>
                <w:b w:val="0"/>
                <w:i w:val="0"/>
                <w:smallCaps w:val="0"/>
                <w:strike w:val="0"/>
                <w:color w:val="000000"/>
                <w:sz w:val="18"/>
                <w:szCs w:val="18"/>
                <w:u w:val="none"/>
                <w:vertAlign w:val="baseline"/>
                <w:rtl w:val="0"/>
              </w:rPr>
              <w:t xml:space="preserve">§ 20</w:t>
              <w:br w:type="textWrapping"/>
              <w:t xml:space="preserve">Protokollsjustering, tillgänglighållande</w:t>
            </w:r>
          </w:p>
        </w:tc>
        <w:tc>
          <w:tcPr>
            <w:gridSpan w:val="3"/>
          </w:tcPr>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br w:type="textWrapping"/>
              <w:t xml:space="preserve">Protokollet från stämman ska justeras och hållas tillgängligt för medlemmarna senast två veckor efter stämman.</w:t>
            </w:r>
          </w:p>
          <w:p w:rsidR="00000000" w:rsidDel="00000000" w:rsidP="00000000" w:rsidRDefault="00000000" w:rsidRPr="00000000">
            <w:pPr>
              <w:keepNext w:val="0"/>
              <w:keepLines w:val="0"/>
              <w:widowControl w:val="0"/>
              <w:pBdr/>
              <w:spacing w:after="60" w:before="6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Dessa stadgar har antagits vid sammanträde enligt datum på första sidan.</w:t>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c>
          <w:tcPr>
            <w:gridSpan w:val="3"/>
          </w:tcPr>
          <w:p w:rsidR="00000000" w:rsidDel="00000000" w:rsidP="00000000" w:rsidRDefault="00000000" w:rsidRPr="00000000">
            <w:pPr>
              <w:keepNext w:val="0"/>
              <w:keepLines w:val="0"/>
              <w:widowControl w:val="0"/>
              <w:pBdr/>
              <w:tabs>
                <w:tab w:val="left" w:pos="3969"/>
              </w:tabs>
              <w:spacing w:after="60" w:before="60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808080"/>
                <w:sz w:val="18"/>
                <w:szCs w:val="18"/>
                <w:u w:val="none"/>
                <w:vertAlign w:val="baseline"/>
                <w:rtl w:val="0"/>
              </w:rPr>
              <w:tab/>
            </w: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br w:type="textWrapping"/>
              <w:br w:type="textWrapping"/>
              <w:t xml:space="preserve">Sammanträdesledare</w:t>
            </w:r>
          </w:p>
          <w:p w:rsidR="00000000" w:rsidDel="00000000" w:rsidP="00000000" w:rsidRDefault="00000000" w:rsidRPr="00000000">
            <w:pPr>
              <w:keepNext w:val="0"/>
              <w:keepLines w:val="0"/>
              <w:widowControl w:val="0"/>
              <w:pBdr/>
              <w:tabs>
                <w:tab w:val="left" w:pos="3969"/>
              </w:tabs>
              <w:spacing w:after="60" w:before="60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69"/>
              </w:tabs>
              <w:spacing w:after="60" w:before="60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69"/>
              </w:tabs>
              <w:spacing w:after="60" w:before="60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69"/>
              </w:tabs>
              <w:spacing w:after="60" w:before="60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ind w:left="-709" w:right="-285" w:firstLine="0"/>
        <w:contextualSpacing w:val="0"/>
        <w:rPr>
          <w:sz w:val="4"/>
          <w:szCs w:val="4"/>
        </w:rPr>
      </w:pPr>
      <w:r w:rsidDel="00000000" w:rsidR="00000000" w:rsidRPr="00000000">
        <w:rPr>
          <w:rtl w:val="0"/>
        </w:rPr>
      </w:r>
      <w:bookmarkStart w:colFirst="0" w:colLast="0" w:name="3dy6vkm" w:id="6"/>
      <w:bookmarkEnd w:id="6"/>
      <w:r w:rsidDel="00000000" w:rsidR="00000000" w:rsidRPr="00000000">
        <w:rPr>
          <w:rtl w:val="0"/>
        </w:rPr>
      </w:r>
    </w:p>
    <w:tbl>
      <w:tblPr>
        <w:tblStyle w:val="Table4"/>
        <w:bidiVisual w:val="0"/>
        <w:tblW w:w="9650.0" w:type="dxa"/>
        <w:jc w:val="left"/>
        <w:tblInd w:w="-71.0" w:type="dxa"/>
        <w:tblLayout w:type="fixed"/>
        <w:tblLook w:val="0000"/>
      </w:tblPr>
      <w:tblGrid>
        <w:gridCol w:w="1989"/>
        <w:gridCol w:w="7655"/>
        <w:gridCol w:w="6"/>
        <w:tblGridChange w:id="0">
          <w:tblGrid>
            <w:gridCol w:w="1989"/>
            <w:gridCol w:w="7655"/>
            <w:gridCol w:w="6"/>
          </w:tblGrid>
        </w:tblGridChange>
      </w:tblGrid>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Verdana" w:cs="Verdana" w:eastAsia="Verdana" w:hAnsi="Verdana"/>
                <w:b w:val="0"/>
                <w:i w:val="0"/>
                <w:smallCaps w:val="0"/>
                <w:strike w:val="0"/>
                <w:color w:val="000000"/>
                <w:sz w:val="18"/>
                <w:szCs w:val="18"/>
                <w:u w:val="none"/>
                <w:vertAlign w:val="baseline"/>
              </w:rPr>
            </w:pP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Bdr/>
        <w:tabs>
          <w:tab w:val="left" w:pos="1418"/>
        </w:tabs>
        <w:contextualSpacing w:val="0"/>
        <w:rPr>
          <w:sz w:val="4"/>
          <w:szCs w:val="4"/>
        </w:rPr>
      </w:pPr>
      <w:r w:rsidDel="00000000" w:rsidR="00000000" w:rsidRPr="00000000">
        <w:rPr>
          <w:rtl w:val="0"/>
        </w:rPr>
      </w:r>
    </w:p>
    <w:sectPr>
      <w:headerReference r:id="rId7" w:type="default"/>
      <w:pgSz w:h="16840" w:w="11907"/>
      <w:pgMar w:bottom="680" w:top="0" w:left="1134" w:right="1134"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thias Grönlund" w:id="4" w:date="2017-03-30T13:50:2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Har vi flera verksamhetsgrenar? Om nej, hur gör vi med paragraf?</w:t>
      </w:r>
    </w:p>
  </w:comment>
  <w:comment w:author="Mathias Grönlund" w:id="1" w:date="2017-03-30T12:46:4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Föreningen förvaltar.</w:t>
      </w:r>
    </w:p>
  </w:comment>
  <w:comment w:author="Mathias Grönlund" w:id="0" w:date="2017-03-30T12:46:2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Firma.</w:t>
      </w:r>
    </w:p>
  </w:comment>
  <w:comment w:author="Mathias Grönlund" w:id="3" w:date="2017-03-30T12:58:5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Besluta om summa / procentuell avsättning.</w:t>
      </w:r>
    </w:p>
  </w:comment>
  <w:comment w:author="Mathias Grönlund" w:id="2" w:date="2017-03-30T12:52:0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Vad som ska förvaltas.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ook Antiqua" w:cs="Book Antiqua" w:eastAsia="Book Antiqua" w:hAnsi="Book Antiqu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1.0" w:type="dxa"/>
        <w:bottom w:w="0.0" w:type="dxa"/>
        <w:right w:w="7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viewer?a=v&amp;pid=sites&amp;srcid=cm92b2dlcm4uY29tfHZhZ3xneDozOWUxNzkwMTg5Njk1YzEw"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